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44"/>
          <w:szCs w:val="44"/>
        </w:rPr>
      </w:pPr>
      <w:bookmarkStart w:id="13" w:name="_GoBack"/>
      <w:r>
        <w:drawing>
          <wp:inline distT="0" distB="0" distL="114300" distR="114300">
            <wp:extent cx="5627370" cy="8212455"/>
            <wp:effectExtent l="0" t="0" r="1143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27370" cy="8212455"/>
                    </a:xfrm>
                    <a:prstGeom prst="rect">
                      <a:avLst/>
                    </a:prstGeom>
                    <a:noFill/>
                    <a:ln w="9525">
                      <a:noFill/>
                    </a:ln>
                  </pic:spPr>
                </pic:pic>
              </a:graphicData>
            </a:graphic>
          </wp:inline>
        </w:drawing>
      </w:r>
      <w:bookmarkEnd w:id="13"/>
    </w:p>
    <w:p>
      <w:pPr>
        <w:spacing w:line="720" w:lineRule="auto"/>
        <w:jc w:val="center"/>
        <w:rPr>
          <w:rFonts w:hint="eastAsia" w:asciiTheme="minorEastAsia" w:hAnsiTheme="minorEastAsia" w:eastAsiaTheme="minorEastAsia" w:cstheme="minorEastAsia"/>
          <w:sz w:val="32"/>
          <w:szCs w:val="32"/>
        </w:rPr>
      </w:pPr>
    </w:p>
    <w:p>
      <w:pPr>
        <w:spacing w:line="72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前言</w:t>
      </w:r>
    </w:p>
    <w:p>
      <w:pPr>
        <w:jc w:val="center"/>
        <w:rPr>
          <w:rFonts w:hint="eastAsia" w:ascii="仿宋" w:hAnsi="仿宋" w:eastAsia="仿宋" w:cs="仿宋"/>
          <w:sz w:val="28"/>
          <w:szCs w:val="28"/>
        </w:rPr>
      </w:pPr>
      <w:r>
        <w:rPr>
          <w:rFonts w:hint="eastAsia" w:ascii="仿宋" w:hAnsi="仿宋" w:eastAsia="仿宋" w:cs="仿宋"/>
          <w:sz w:val="28"/>
          <w:szCs w:val="28"/>
        </w:rPr>
        <w:t>中华人民共和国国家标准重大火灾隐患判定方法</w:t>
      </w:r>
    </w:p>
    <w:p>
      <w:pPr>
        <w:jc w:val="center"/>
        <w:rPr>
          <w:rFonts w:hint="eastAsia" w:ascii="仿宋" w:hAnsi="仿宋" w:eastAsia="仿宋" w:cs="仿宋"/>
          <w:sz w:val="28"/>
          <w:szCs w:val="28"/>
        </w:rPr>
      </w:pPr>
      <w:r>
        <w:rPr>
          <w:rFonts w:hint="eastAsia" w:ascii="仿宋" w:hAnsi="仿宋" w:eastAsia="仿宋" w:cs="仿宋"/>
          <w:sz w:val="28"/>
          <w:szCs w:val="28"/>
        </w:rPr>
        <w:t>Methods for major fire potential judgement</w:t>
      </w:r>
    </w:p>
    <w:p>
      <w:pPr>
        <w:jc w:val="center"/>
        <w:rPr>
          <w:rFonts w:hint="eastAsia" w:ascii="仿宋" w:hAnsi="仿宋" w:eastAsia="仿宋" w:cs="仿宋"/>
          <w:sz w:val="28"/>
          <w:szCs w:val="28"/>
        </w:rPr>
      </w:pPr>
      <w:r>
        <w:rPr>
          <w:rFonts w:hint="eastAsia" w:ascii="仿宋" w:hAnsi="仿宋" w:eastAsia="仿宋" w:cs="仿宋"/>
          <w:sz w:val="28"/>
          <w:szCs w:val="28"/>
        </w:rPr>
        <w:t>GB 35181-2017</w:t>
      </w:r>
    </w:p>
    <w:p>
      <w:pPr>
        <w:jc w:val="center"/>
        <w:rPr>
          <w:rFonts w:hint="eastAsia" w:ascii="仿宋" w:hAnsi="仿宋" w:eastAsia="仿宋" w:cs="仿宋"/>
          <w:sz w:val="28"/>
          <w:szCs w:val="28"/>
        </w:rPr>
      </w:pPr>
      <w:r>
        <w:rPr>
          <w:rFonts w:hint="eastAsia" w:ascii="仿宋" w:hAnsi="仿宋" w:eastAsia="仿宋" w:cs="仿宋"/>
          <w:sz w:val="28"/>
          <w:szCs w:val="28"/>
        </w:rPr>
        <w:t>2017-12-29发布     2018-07-01实施</w:t>
      </w:r>
    </w:p>
    <w:p>
      <w:pPr>
        <w:jc w:val="center"/>
        <w:rPr>
          <w:rFonts w:hint="eastAsia" w:ascii="仿宋" w:hAnsi="仿宋" w:eastAsia="仿宋" w:cs="仿宋"/>
          <w:sz w:val="28"/>
          <w:szCs w:val="28"/>
        </w:rPr>
      </w:pPr>
      <w:r>
        <w:rPr>
          <w:rFonts w:hint="eastAsia" w:ascii="仿宋" w:hAnsi="仿宋" w:eastAsia="仿宋" w:cs="仿宋"/>
          <w:sz w:val="28"/>
          <w:szCs w:val="28"/>
        </w:rPr>
        <w:t>中华人民共和国国家质量监督检验检疫总局</w:t>
      </w:r>
    </w:p>
    <w:p>
      <w:pPr>
        <w:jc w:val="center"/>
        <w:rPr>
          <w:rFonts w:hint="eastAsia" w:ascii="仿宋" w:hAnsi="仿宋" w:eastAsia="仿宋" w:cs="仿宋"/>
          <w:sz w:val="28"/>
          <w:szCs w:val="28"/>
        </w:rPr>
      </w:pPr>
      <w:r>
        <w:rPr>
          <w:rFonts w:hint="eastAsia" w:ascii="仿宋" w:hAnsi="仿宋" w:eastAsia="仿宋" w:cs="仿宋"/>
          <w:sz w:val="28"/>
          <w:szCs w:val="28"/>
        </w:rPr>
        <w:t>中国国家标准化管理委员会    发布</w:t>
      </w:r>
    </w:p>
    <w:p>
      <w:pPr>
        <w:rPr>
          <w:rFonts w:hint="eastAsia" w:ascii="仿宋" w:hAnsi="仿宋" w:eastAsia="仿宋" w:cs="仿宋"/>
          <w:sz w:val="28"/>
          <w:szCs w:val="28"/>
        </w:rPr>
      </w:pPr>
      <w:r>
        <w:rPr>
          <w:rFonts w:hint="eastAsia" w:ascii="仿宋" w:hAnsi="仿宋" w:eastAsia="仿宋" w:cs="仿宋"/>
          <w:sz w:val="28"/>
          <w:szCs w:val="28"/>
        </w:rPr>
        <w:t xml:space="preserve">    本标准的第5章~第7章为强制性的，其余为推荐性的。</w:t>
      </w:r>
    </w:p>
    <w:p>
      <w:pPr>
        <w:rPr>
          <w:rFonts w:hint="eastAsia" w:ascii="仿宋" w:hAnsi="仿宋" w:eastAsia="仿宋" w:cs="仿宋"/>
          <w:sz w:val="28"/>
          <w:szCs w:val="28"/>
        </w:rPr>
      </w:pPr>
      <w:r>
        <w:rPr>
          <w:rFonts w:hint="eastAsia" w:ascii="仿宋" w:hAnsi="仿宋" w:eastAsia="仿宋" w:cs="仿宋"/>
          <w:sz w:val="28"/>
          <w:szCs w:val="28"/>
        </w:rPr>
        <w:t xml:space="preserve">    本标准按照GB/T 1.1—2009给出的规则起草。</w:t>
      </w:r>
    </w:p>
    <w:p>
      <w:pPr>
        <w:rPr>
          <w:rFonts w:hint="eastAsia" w:ascii="仿宋" w:hAnsi="仿宋" w:eastAsia="仿宋" w:cs="仿宋"/>
          <w:sz w:val="28"/>
          <w:szCs w:val="28"/>
        </w:rPr>
      </w:pPr>
      <w:r>
        <w:rPr>
          <w:rFonts w:hint="eastAsia" w:ascii="仿宋" w:hAnsi="仿宋" w:eastAsia="仿宋" w:cs="仿宋"/>
          <w:sz w:val="28"/>
          <w:szCs w:val="28"/>
        </w:rPr>
        <w:t xml:space="preserve">    本标准由中华人民共和国公安部提出并归口。</w:t>
      </w:r>
    </w:p>
    <w:p>
      <w:pPr>
        <w:rPr>
          <w:rFonts w:hint="eastAsia" w:ascii="仿宋" w:hAnsi="仿宋" w:eastAsia="仿宋" w:cs="仿宋"/>
          <w:sz w:val="28"/>
          <w:szCs w:val="28"/>
        </w:rPr>
      </w:pPr>
      <w:r>
        <w:rPr>
          <w:rFonts w:hint="eastAsia" w:ascii="仿宋" w:hAnsi="仿宋" w:eastAsia="仿宋" w:cs="仿宋"/>
          <w:sz w:val="28"/>
          <w:szCs w:val="28"/>
        </w:rPr>
        <w:t xml:space="preserve">    本标准负责起草单位：公安部消防局、公安部天津消防研究所。</w:t>
      </w:r>
    </w:p>
    <w:p>
      <w:pPr>
        <w:rPr>
          <w:rFonts w:hint="eastAsia" w:ascii="仿宋" w:hAnsi="仿宋" w:eastAsia="仿宋" w:cs="仿宋"/>
          <w:sz w:val="28"/>
          <w:szCs w:val="28"/>
        </w:rPr>
      </w:pPr>
      <w:r>
        <w:rPr>
          <w:rFonts w:hint="eastAsia" w:ascii="仿宋" w:hAnsi="仿宋" w:eastAsia="仿宋" w:cs="仿宋"/>
          <w:sz w:val="28"/>
          <w:szCs w:val="28"/>
        </w:rPr>
        <w:t xml:space="preserve">    本标准参加起草单位：四川省公安消防总队、广东省公安消防总队、湖北省公安消防总队。</w:t>
      </w:r>
    </w:p>
    <w:p>
      <w:pPr>
        <w:rPr>
          <w:rFonts w:hint="eastAsia" w:ascii="仿宋" w:hAnsi="仿宋" w:eastAsia="仿宋" w:cs="仿宋"/>
          <w:sz w:val="28"/>
          <w:szCs w:val="28"/>
        </w:rPr>
      </w:pPr>
      <w:r>
        <w:rPr>
          <w:rFonts w:hint="eastAsia" w:ascii="仿宋" w:hAnsi="仿宋" w:eastAsia="仿宋" w:cs="仿宋"/>
          <w:sz w:val="28"/>
          <w:szCs w:val="28"/>
        </w:rPr>
        <w:t xml:space="preserve">    本标准主要起草人：刘激扬、亓延军、李彦军、倪照鹏、马锐、韩子忠、阚强、黄韬、吴丹、鲁云龙、薄建伟、朱惠军、肖蓉、高维娜、谭远林。</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jc w:val="center"/>
        <w:rPr>
          <w:rFonts w:hint="eastAsia" w:ascii="仿宋" w:hAnsi="仿宋" w:eastAsia="仿宋" w:cs="仿宋"/>
          <w:sz w:val="28"/>
          <w:szCs w:val="28"/>
        </w:rPr>
      </w:pPr>
    </w:p>
    <w:p>
      <w:pPr>
        <w:spacing w:line="72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引言</w:t>
      </w:r>
    </w:p>
    <w:p>
      <w:pPr>
        <w:rPr>
          <w:rFonts w:hint="eastAsia" w:ascii="仿宋" w:hAnsi="仿宋" w:eastAsia="仿宋" w:cs="仿宋"/>
          <w:sz w:val="28"/>
          <w:szCs w:val="28"/>
        </w:rPr>
      </w:pPr>
      <w:r>
        <w:rPr>
          <w:rFonts w:hint="eastAsia" w:ascii="仿宋" w:hAnsi="仿宋" w:eastAsia="仿宋" w:cs="仿宋"/>
          <w:sz w:val="28"/>
          <w:szCs w:val="28"/>
        </w:rPr>
        <w:t xml:space="preserve">    重大火灾隐患是违反消防法律法规、不符合消防技术标准，可能导致火灾发生或火灾危害增大，并由此可能造成重大、特别重大火灾事故或严重社会影响的各类潜在不安全因素。及时发现和消除重大火灾隐患，对于预防和减少火灾发生、保障社会经济发展和人民群众生命财产安全、维护社会稳定具有重要意义。</w:t>
      </w:r>
    </w:p>
    <w:p>
      <w:pPr>
        <w:ind w:firstLine="560"/>
        <w:rPr>
          <w:rFonts w:hint="eastAsia" w:ascii="仿宋" w:hAnsi="仿宋" w:eastAsia="仿宋" w:cs="仿宋"/>
          <w:sz w:val="28"/>
          <w:szCs w:val="28"/>
        </w:rPr>
      </w:pPr>
      <w:r>
        <w:rPr>
          <w:rFonts w:hint="eastAsia" w:ascii="仿宋" w:hAnsi="仿宋" w:eastAsia="仿宋" w:cs="仿宋"/>
          <w:sz w:val="28"/>
          <w:szCs w:val="28"/>
        </w:rPr>
        <w:t>本标准是依据消防法律法规和国家工程建设消防技术标准，在广泛调査硏究、总结实践经验、参考借鉴国内外有关资料，并充分征求意见的基础上制定的。本标准的制定和发布，为公民、法人、其他组织和公安机关消防机构提供了判定重大火灾隐患的方法，也可为消防安全评估提供技术依据。</w:t>
      </w: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pStyle w:val="6"/>
        <w:spacing w:before="0" w:line="300" w:lineRule="auto"/>
        <w:jc w:val="center"/>
        <w:rPr>
          <w:rFonts w:hint="eastAsia"/>
          <w:sz w:val="44"/>
          <w:szCs w:val="44"/>
        </w:rPr>
      </w:pPr>
      <w:bookmarkStart w:id="0" w:name="_Toc112464581"/>
      <w:bookmarkStart w:id="1" w:name="_Toc109527583"/>
      <w:bookmarkStart w:id="2" w:name="_Toc119331189"/>
      <w:bookmarkStart w:id="3" w:name="_Toc119331397"/>
      <w:bookmarkStart w:id="4" w:name="_Toc119306022"/>
      <w:bookmarkStart w:id="5" w:name="_Toc119399471"/>
      <w:bookmarkStart w:id="6" w:name="_Toc119676802"/>
      <w:bookmarkStart w:id="7" w:name="_Toc119676425"/>
      <w:bookmarkStart w:id="8" w:name="_Toc119483561"/>
      <w:bookmarkStart w:id="9" w:name="_Toc112464401"/>
      <w:bookmarkStart w:id="10" w:name="_Toc112408713"/>
      <w:bookmarkStart w:id="11" w:name="_Toc112419231"/>
      <w:bookmarkStart w:id="12" w:name="SectionMark4"/>
      <w:r>
        <w:rPr>
          <w:rFonts w:hint="eastAsia"/>
          <w:sz w:val="44"/>
          <w:szCs w:val="44"/>
        </w:rPr>
        <w:t>重大火灾隐患判定</w:t>
      </w:r>
      <w:bookmarkEnd w:id="0"/>
      <w:bookmarkEnd w:id="1"/>
      <w:bookmarkEnd w:id="2"/>
      <w:bookmarkEnd w:id="3"/>
      <w:bookmarkEnd w:id="4"/>
      <w:bookmarkEnd w:id="5"/>
      <w:bookmarkEnd w:id="6"/>
      <w:bookmarkEnd w:id="7"/>
      <w:bookmarkEnd w:id="8"/>
      <w:bookmarkEnd w:id="9"/>
      <w:bookmarkEnd w:id="10"/>
      <w:bookmarkEnd w:id="11"/>
      <w:r>
        <w:rPr>
          <w:rFonts w:hint="eastAsia"/>
          <w:sz w:val="44"/>
          <w:szCs w:val="44"/>
        </w:rPr>
        <w:t>方法</w:t>
      </w:r>
    </w:p>
    <w:bookmarkEnd w:id="12"/>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 范围</w:t>
      </w:r>
    </w:p>
    <w:p>
      <w:pPr>
        <w:rPr>
          <w:rFonts w:hint="eastAsia" w:ascii="仿宋" w:hAnsi="仿宋" w:eastAsia="仿宋" w:cs="仿宋"/>
          <w:sz w:val="28"/>
          <w:szCs w:val="28"/>
        </w:rPr>
      </w:pPr>
      <w:r>
        <w:rPr>
          <w:rFonts w:hint="eastAsia" w:ascii="仿宋" w:hAnsi="仿宋" w:eastAsia="仿宋" w:cs="仿宋"/>
          <w:sz w:val="28"/>
          <w:szCs w:val="28"/>
        </w:rPr>
        <w:t xml:space="preserve">    本标准规定了重大火灾隐患的术语和定义、判定原则和程序、判定方法、直接判定要素和综合判定要素等。</w:t>
      </w:r>
    </w:p>
    <w:p>
      <w:pPr>
        <w:ind w:firstLine="560"/>
        <w:rPr>
          <w:rFonts w:hint="eastAsia" w:ascii="仿宋" w:hAnsi="仿宋" w:eastAsia="仿宋" w:cs="仿宋"/>
          <w:sz w:val="28"/>
          <w:szCs w:val="28"/>
        </w:rPr>
      </w:pPr>
      <w:r>
        <w:rPr>
          <w:rFonts w:hint="eastAsia" w:ascii="仿宋" w:hAnsi="仿宋" w:eastAsia="仿宋" w:cs="仿宋"/>
          <w:sz w:val="28"/>
          <w:szCs w:val="28"/>
        </w:rPr>
        <w:t>本标准适用于城乡消防安全布局、公共消防设施、在用工业与民用建筑（包括人民防空工程）及相关场所因违反消防法律法规、不符合消防技术标准而形成的重大火灾隐患的判定。</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 规范性引用文件</w:t>
      </w:r>
    </w:p>
    <w:p>
      <w:pPr>
        <w:rPr>
          <w:rFonts w:hint="eastAsia" w:ascii="仿宋" w:hAnsi="仿宋" w:eastAsia="仿宋" w:cs="仿宋"/>
          <w:sz w:val="28"/>
          <w:szCs w:val="28"/>
        </w:rPr>
      </w:pPr>
      <w:r>
        <w:rPr>
          <w:rFonts w:hint="eastAsia" w:ascii="仿宋" w:hAnsi="仿宋" w:eastAsia="仿宋" w:cs="仿宋"/>
          <w:sz w:val="28"/>
          <w:szCs w:val="28"/>
        </w:rPr>
        <w:t xml:space="preserve">    下列文件对于本文件的应用是必不可少的。凡是注日期的引用文件，仅注日期的版本适用于本文件。凡是不注日期的引用文件，其最新版本（包括所有的修改单）适用于本文件。</w:t>
      </w:r>
    </w:p>
    <w:p>
      <w:pPr>
        <w:rPr>
          <w:rFonts w:hint="eastAsia" w:ascii="仿宋" w:hAnsi="仿宋" w:eastAsia="仿宋" w:cs="仿宋"/>
          <w:sz w:val="28"/>
          <w:szCs w:val="28"/>
        </w:rPr>
      </w:pPr>
      <w:r>
        <w:rPr>
          <w:rFonts w:hint="eastAsia" w:ascii="仿宋" w:hAnsi="仿宋" w:eastAsia="仿宋" w:cs="仿宋"/>
          <w:sz w:val="28"/>
          <w:szCs w:val="28"/>
        </w:rPr>
        <w:t xml:space="preserve">    GB/T 5907（所有部分）  消防词汇</w:t>
      </w:r>
    </w:p>
    <w:p>
      <w:pPr>
        <w:rPr>
          <w:rFonts w:hint="eastAsia" w:ascii="仿宋" w:hAnsi="仿宋" w:eastAsia="仿宋" w:cs="仿宋"/>
          <w:sz w:val="28"/>
          <w:szCs w:val="28"/>
        </w:rPr>
      </w:pPr>
      <w:r>
        <w:rPr>
          <w:rFonts w:hint="eastAsia" w:ascii="仿宋" w:hAnsi="仿宋" w:eastAsia="仿宋" w:cs="仿宋"/>
          <w:sz w:val="28"/>
          <w:szCs w:val="28"/>
        </w:rPr>
        <w:t xml:space="preserve">    GB 8624  建筑材料及制品燃烧性能分级</w:t>
      </w:r>
    </w:p>
    <w:p>
      <w:pPr>
        <w:rPr>
          <w:rFonts w:hint="eastAsia" w:ascii="仿宋" w:hAnsi="仿宋" w:eastAsia="仿宋" w:cs="仿宋"/>
          <w:sz w:val="28"/>
          <w:szCs w:val="28"/>
        </w:rPr>
      </w:pPr>
      <w:r>
        <w:rPr>
          <w:rFonts w:hint="eastAsia" w:ascii="仿宋" w:hAnsi="仿宋" w:eastAsia="仿宋" w:cs="仿宋"/>
          <w:sz w:val="28"/>
          <w:szCs w:val="28"/>
        </w:rPr>
        <w:t xml:space="preserve">    GB 13690  化学品分类和危险性公示  通则</w:t>
      </w:r>
    </w:p>
    <w:p>
      <w:pPr>
        <w:rPr>
          <w:rFonts w:hint="eastAsia" w:ascii="仿宋" w:hAnsi="仿宋" w:eastAsia="仿宋" w:cs="仿宋"/>
          <w:sz w:val="28"/>
          <w:szCs w:val="28"/>
        </w:rPr>
      </w:pPr>
      <w:r>
        <w:rPr>
          <w:rFonts w:hint="eastAsia" w:ascii="仿宋" w:hAnsi="仿宋" w:eastAsia="仿宋" w:cs="仿宋"/>
          <w:sz w:val="28"/>
          <w:szCs w:val="28"/>
        </w:rPr>
        <w:t xml:space="preserve">    GB 25506  消防控制室通用技术要求</w:t>
      </w:r>
    </w:p>
    <w:p>
      <w:pPr>
        <w:rPr>
          <w:rFonts w:hint="eastAsia" w:ascii="仿宋" w:hAnsi="仿宋" w:eastAsia="仿宋" w:cs="仿宋"/>
          <w:sz w:val="28"/>
          <w:szCs w:val="28"/>
        </w:rPr>
      </w:pPr>
      <w:r>
        <w:rPr>
          <w:rFonts w:hint="eastAsia" w:ascii="仿宋" w:hAnsi="仿宋" w:eastAsia="仿宋" w:cs="仿宋"/>
          <w:sz w:val="28"/>
          <w:szCs w:val="28"/>
        </w:rPr>
        <w:t xml:space="preserve">    GB 50016  建筑设计防火规范</w:t>
      </w:r>
    </w:p>
    <w:p>
      <w:pPr>
        <w:rPr>
          <w:rFonts w:hint="eastAsia" w:ascii="仿宋" w:hAnsi="仿宋" w:eastAsia="仿宋" w:cs="仿宋"/>
          <w:sz w:val="28"/>
          <w:szCs w:val="28"/>
        </w:rPr>
      </w:pPr>
      <w:r>
        <w:rPr>
          <w:rFonts w:hint="eastAsia" w:ascii="仿宋" w:hAnsi="仿宋" w:eastAsia="仿宋" w:cs="仿宋"/>
          <w:sz w:val="28"/>
          <w:szCs w:val="28"/>
        </w:rPr>
        <w:t xml:space="preserve">    GB 50074  石油库设计规范</w:t>
      </w:r>
    </w:p>
    <w:p>
      <w:pPr>
        <w:rPr>
          <w:rFonts w:hint="eastAsia" w:ascii="仿宋" w:hAnsi="仿宋" w:eastAsia="仿宋" w:cs="仿宋"/>
          <w:sz w:val="28"/>
          <w:szCs w:val="28"/>
        </w:rPr>
      </w:pPr>
      <w:r>
        <w:rPr>
          <w:rFonts w:hint="eastAsia" w:ascii="仿宋" w:hAnsi="仿宋" w:eastAsia="仿宋" w:cs="仿宋"/>
          <w:sz w:val="28"/>
          <w:szCs w:val="28"/>
        </w:rPr>
        <w:t xml:space="preserve">    GB 50084  自动喷水灭火系统设计规范</w:t>
      </w:r>
    </w:p>
    <w:p>
      <w:pPr>
        <w:rPr>
          <w:rFonts w:hint="eastAsia" w:ascii="仿宋" w:hAnsi="仿宋" w:eastAsia="仿宋" w:cs="仿宋"/>
          <w:sz w:val="28"/>
          <w:szCs w:val="28"/>
        </w:rPr>
      </w:pPr>
      <w:r>
        <w:rPr>
          <w:rFonts w:hint="eastAsia" w:ascii="仿宋" w:hAnsi="仿宋" w:eastAsia="仿宋" w:cs="仿宋"/>
          <w:sz w:val="28"/>
          <w:szCs w:val="28"/>
        </w:rPr>
        <w:t xml:space="preserve">    GB 50116  火灾自动报警系统设计规范</w:t>
      </w:r>
    </w:p>
    <w:p>
      <w:pPr>
        <w:rPr>
          <w:rFonts w:hint="eastAsia" w:ascii="仿宋" w:hAnsi="仿宋" w:eastAsia="仿宋" w:cs="仿宋"/>
          <w:sz w:val="28"/>
          <w:szCs w:val="28"/>
        </w:rPr>
      </w:pPr>
      <w:r>
        <w:rPr>
          <w:rFonts w:hint="eastAsia" w:ascii="仿宋" w:hAnsi="仿宋" w:eastAsia="仿宋" w:cs="仿宋"/>
          <w:sz w:val="28"/>
          <w:szCs w:val="28"/>
        </w:rPr>
        <w:t xml:space="preserve">    GB 50156  汽车加油加气站设计与施工规范</w:t>
      </w:r>
    </w:p>
    <w:p>
      <w:pPr>
        <w:rPr>
          <w:rFonts w:hint="eastAsia" w:ascii="仿宋" w:hAnsi="仿宋" w:eastAsia="仿宋" w:cs="仿宋"/>
          <w:sz w:val="28"/>
          <w:szCs w:val="28"/>
        </w:rPr>
      </w:pPr>
      <w:r>
        <w:rPr>
          <w:rFonts w:hint="eastAsia" w:ascii="仿宋" w:hAnsi="仿宋" w:eastAsia="仿宋" w:cs="仿宋"/>
          <w:sz w:val="28"/>
          <w:szCs w:val="28"/>
        </w:rPr>
        <w:t xml:space="preserve">    GB 50222  建筑内部装修设计防火规范</w:t>
      </w:r>
    </w:p>
    <w:p>
      <w:pPr>
        <w:rPr>
          <w:rFonts w:hint="eastAsia" w:ascii="仿宋" w:hAnsi="仿宋" w:eastAsia="仿宋" w:cs="仿宋"/>
          <w:sz w:val="28"/>
          <w:szCs w:val="28"/>
        </w:rPr>
      </w:pPr>
      <w:r>
        <w:rPr>
          <w:rFonts w:hint="eastAsia" w:ascii="仿宋" w:hAnsi="仿宋" w:eastAsia="仿宋" w:cs="仿宋"/>
          <w:sz w:val="28"/>
          <w:szCs w:val="28"/>
        </w:rPr>
        <w:t xml:space="preserve">    GB 50974  消防给水及消火栓系统技术规范</w:t>
      </w:r>
    </w:p>
    <w:p>
      <w:pPr>
        <w:ind w:firstLine="560"/>
        <w:rPr>
          <w:rFonts w:hint="eastAsia" w:ascii="仿宋" w:hAnsi="仿宋" w:eastAsia="仿宋" w:cs="仿宋"/>
          <w:sz w:val="28"/>
          <w:szCs w:val="28"/>
        </w:rPr>
      </w:pPr>
      <w:r>
        <w:rPr>
          <w:rFonts w:hint="eastAsia" w:ascii="仿宋" w:hAnsi="仿宋" w:eastAsia="仿宋" w:cs="仿宋"/>
          <w:sz w:val="28"/>
          <w:szCs w:val="28"/>
        </w:rPr>
        <w:t>GA 703  住宿与生产储存经营合用场所消防安全技术要求</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 术语和定义</w:t>
      </w:r>
    </w:p>
    <w:p>
      <w:pPr>
        <w:rPr>
          <w:rFonts w:hint="eastAsia" w:ascii="仿宋" w:hAnsi="仿宋" w:eastAsia="仿宋" w:cs="仿宋"/>
          <w:sz w:val="28"/>
          <w:szCs w:val="28"/>
        </w:rPr>
      </w:pPr>
      <w:r>
        <w:rPr>
          <w:rFonts w:hint="eastAsia" w:ascii="仿宋" w:hAnsi="仿宋" w:eastAsia="仿宋" w:cs="仿宋"/>
          <w:sz w:val="28"/>
          <w:szCs w:val="28"/>
        </w:rPr>
        <w:t xml:space="preserve">    GB/T 5907、GB 13690、GB 50016、GB 50074、GB 50084、GB 50116、GB 50156、GB 50222、GB 50974界定的以及下列术语和定义适用于本文件。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3.1</w:t>
      </w:r>
    </w:p>
    <w:p>
      <w:pPr>
        <w:rPr>
          <w:rFonts w:hint="eastAsia" w:ascii="仿宋" w:hAnsi="仿宋" w:eastAsia="仿宋" w:cs="仿宋"/>
          <w:sz w:val="28"/>
          <w:szCs w:val="28"/>
        </w:rPr>
      </w:pPr>
      <w:r>
        <w:rPr>
          <w:rFonts w:hint="eastAsia" w:ascii="仿宋" w:hAnsi="仿宋" w:eastAsia="仿宋" w:cs="仿宋"/>
          <w:sz w:val="28"/>
          <w:szCs w:val="28"/>
        </w:rPr>
        <w:t xml:space="preserve">    重大火灾隐患  major fire potential</w:t>
      </w:r>
    </w:p>
    <w:p>
      <w:pPr>
        <w:rPr>
          <w:rFonts w:hint="eastAsia" w:ascii="仿宋" w:hAnsi="仿宋" w:eastAsia="仿宋" w:cs="仿宋"/>
          <w:sz w:val="28"/>
          <w:szCs w:val="28"/>
        </w:rPr>
      </w:pPr>
      <w:r>
        <w:rPr>
          <w:rFonts w:hint="eastAsia" w:ascii="仿宋" w:hAnsi="仿宋" w:eastAsia="仿宋" w:cs="仿宋"/>
          <w:sz w:val="28"/>
          <w:szCs w:val="28"/>
        </w:rPr>
        <w:t xml:space="preserve">    违反消防法律法规、不符合消防技术标准，可能导致火灾发生或火灾危害增大，并由此可能造成重大、特别重大火灾事故或严重社会影响的各类潜在不安全因素。</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3.2</w:t>
      </w:r>
    </w:p>
    <w:p>
      <w:pPr>
        <w:rPr>
          <w:rFonts w:hint="eastAsia" w:ascii="仿宋" w:hAnsi="仿宋" w:eastAsia="仿宋" w:cs="仿宋"/>
          <w:sz w:val="28"/>
          <w:szCs w:val="28"/>
        </w:rPr>
      </w:pPr>
      <w:r>
        <w:rPr>
          <w:rFonts w:hint="eastAsia" w:ascii="仿宋" w:hAnsi="仿宋" w:eastAsia="仿宋" w:cs="仿宋"/>
          <w:sz w:val="28"/>
          <w:szCs w:val="28"/>
        </w:rPr>
        <w:t xml:space="preserve">    公共娱乐场所  place of public amusement</w:t>
      </w:r>
    </w:p>
    <w:p>
      <w:pPr>
        <w:rPr>
          <w:rFonts w:hint="eastAsia" w:ascii="仿宋" w:hAnsi="仿宋" w:eastAsia="仿宋" w:cs="仿宋"/>
          <w:sz w:val="28"/>
          <w:szCs w:val="28"/>
        </w:rPr>
      </w:pPr>
      <w:r>
        <w:rPr>
          <w:rFonts w:hint="eastAsia" w:ascii="仿宋" w:hAnsi="仿宋" w:eastAsia="仿宋" w:cs="仿宋"/>
          <w:sz w:val="28"/>
          <w:szCs w:val="28"/>
        </w:rPr>
        <w:t xml:space="preserve">    具有文化娱乐、健身休闲功能并向公众开放的室内场所，包括影剧院、录像厅、礼堂等演出、放映场所，舞厅、卡拉OK厅等歌舞娱乐场所，具有娱乐功能的夜总会、音乐茶座和餐饮场所，游艺、游乐场所，保龄球馆、旱冰场、桑拿浴室等营业性健身、休闲场所。</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3.3</w:t>
      </w:r>
    </w:p>
    <w:p>
      <w:pPr>
        <w:rPr>
          <w:rFonts w:hint="eastAsia" w:ascii="仿宋" w:hAnsi="仿宋" w:eastAsia="仿宋" w:cs="仿宋"/>
          <w:sz w:val="28"/>
          <w:szCs w:val="28"/>
        </w:rPr>
      </w:pPr>
      <w:r>
        <w:rPr>
          <w:rFonts w:hint="eastAsia" w:ascii="仿宋" w:hAnsi="仿宋" w:eastAsia="仿宋" w:cs="仿宋"/>
          <w:sz w:val="28"/>
          <w:szCs w:val="28"/>
        </w:rPr>
        <w:t xml:space="preserve">    公众聚集场所  public gathering place</w:t>
      </w:r>
    </w:p>
    <w:p>
      <w:pPr>
        <w:rPr>
          <w:rFonts w:hint="eastAsia" w:ascii="仿宋" w:hAnsi="仿宋" w:eastAsia="仿宋" w:cs="仿宋"/>
          <w:sz w:val="28"/>
          <w:szCs w:val="28"/>
        </w:rPr>
      </w:pPr>
      <w:r>
        <w:rPr>
          <w:rFonts w:hint="eastAsia" w:ascii="仿宋" w:hAnsi="仿宋" w:eastAsia="仿宋" w:cs="仿宋"/>
          <w:sz w:val="28"/>
          <w:szCs w:val="28"/>
        </w:rPr>
        <w:t xml:space="preserve">    宾馆、饭店、商场、集贸市场、客运车站候车室、客运码头候船厅、民用机场航站楼、体育场馆、会堂以及公共娱乐场所等。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3.4</w:t>
      </w:r>
    </w:p>
    <w:p>
      <w:pPr>
        <w:rPr>
          <w:rFonts w:hint="eastAsia" w:ascii="仿宋" w:hAnsi="仿宋" w:eastAsia="仿宋" w:cs="仿宋"/>
          <w:sz w:val="28"/>
          <w:szCs w:val="28"/>
        </w:rPr>
      </w:pPr>
      <w:r>
        <w:rPr>
          <w:rFonts w:hint="eastAsia" w:ascii="仿宋" w:hAnsi="仿宋" w:eastAsia="仿宋" w:cs="仿宋"/>
          <w:sz w:val="28"/>
          <w:szCs w:val="28"/>
        </w:rPr>
        <w:t xml:space="preserve">    人员密集场所  assembly occupancy</w:t>
      </w:r>
    </w:p>
    <w:p>
      <w:pPr>
        <w:rPr>
          <w:rFonts w:hint="eastAsia" w:ascii="仿宋" w:hAnsi="仿宋" w:eastAsia="仿宋" w:cs="仿宋"/>
          <w:sz w:val="28"/>
          <w:szCs w:val="28"/>
        </w:rPr>
      </w:pPr>
      <w:r>
        <w:rPr>
          <w:rFonts w:hint="eastAsia" w:ascii="仿宋" w:hAnsi="仿宋" w:eastAsia="仿宋" w:cs="仿宋"/>
          <w:sz w:val="28"/>
          <w:szCs w:val="28"/>
        </w:rPr>
        <w:t xml:space="preserve">    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3.5</w:t>
      </w:r>
    </w:p>
    <w:p>
      <w:pPr>
        <w:rPr>
          <w:rFonts w:hint="eastAsia" w:ascii="仿宋" w:hAnsi="仿宋" w:eastAsia="仿宋" w:cs="仿宋"/>
          <w:sz w:val="28"/>
          <w:szCs w:val="28"/>
        </w:rPr>
      </w:pPr>
      <w:r>
        <w:rPr>
          <w:rFonts w:hint="eastAsia" w:ascii="仿宋" w:hAnsi="仿宋" w:eastAsia="仿宋" w:cs="仿宋"/>
          <w:sz w:val="28"/>
          <w:szCs w:val="28"/>
        </w:rPr>
        <w:t xml:space="preserve">    易燃易爆危险品场所  place of flammable and explosive material</w:t>
      </w:r>
    </w:p>
    <w:p>
      <w:pPr>
        <w:rPr>
          <w:rFonts w:hint="eastAsia" w:ascii="仿宋" w:hAnsi="仿宋" w:eastAsia="仿宋" w:cs="仿宋"/>
          <w:sz w:val="28"/>
          <w:szCs w:val="28"/>
        </w:rPr>
      </w:pPr>
      <w:r>
        <w:rPr>
          <w:rFonts w:hint="eastAsia" w:ascii="仿宋" w:hAnsi="仿宋" w:eastAsia="仿宋" w:cs="仿宋"/>
          <w:sz w:val="28"/>
          <w:szCs w:val="28"/>
        </w:rPr>
        <w:t xml:space="preserve">    生产、储存、经营易燃易爆危险品的厂房和装置、库房、储罐（区）、商店、专用车站和码头，可燃气体储存（储配）站、充装站、调压站、供应站，加油加气站等。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3.6</w:t>
      </w:r>
    </w:p>
    <w:p>
      <w:pPr>
        <w:rPr>
          <w:rFonts w:hint="eastAsia" w:ascii="仿宋" w:hAnsi="仿宋" w:eastAsia="仿宋" w:cs="仿宋"/>
          <w:sz w:val="28"/>
          <w:szCs w:val="28"/>
        </w:rPr>
      </w:pPr>
      <w:r>
        <w:rPr>
          <w:rFonts w:hint="eastAsia" w:ascii="仿宋" w:hAnsi="仿宋" w:eastAsia="仿宋" w:cs="仿宋"/>
          <w:sz w:val="28"/>
          <w:szCs w:val="28"/>
        </w:rPr>
        <w:t xml:space="preserve">    重要场所  important place</w:t>
      </w:r>
    </w:p>
    <w:p>
      <w:pPr>
        <w:ind w:firstLine="560"/>
        <w:rPr>
          <w:rFonts w:hint="eastAsia" w:ascii="仿宋" w:hAnsi="仿宋" w:eastAsia="仿宋" w:cs="仿宋"/>
          <w:sz w:val="28"/>
          <w:szCs w:val="28"/>
        </w:rPr>
      </w:pPr>
      <w:r>
        <w:rPr>
          <w:rFonts w:hint="eastAsia" w:ascii="仿宋" w:hAnsi="仿宋" w:eastAsia="仿宋" w:cs="仿宋"/>
          <w:sz w:val="28"/>
          <w:szCs w:val="28"/>
        </w:rPr>
        <w:t>发生火灾可能造成重大社会、政治影响和经济损失的场所，如国家机关，城市供水、供电、供气和供暖的调度中心，广播、电视、邮政和电信建筑，大、中型发电厂（站）、110kV及以上的变配电站，省级及以上博物馆、档案馆及国家文物保护单位，重要科研单位中的关键建筑设施，城市地铁与重要的城市交通隧道等。</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4 判定原则和程序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4.1 重大火灾隐患判定应坚持科学严谨、实事求是、客观公正的原则。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4.2 重大火灾隐患判定适用下列程序：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a）现场检查：组织进行现场检査，核实火灾隐患的具体情况，并获取相关影像和文字资料；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b）集体讨论：组织对火灾隐患进行集体讨论，做出结论性判定意见，参与人数不应少于3人；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c）专家技术论证：对于涉及复杂疑难的技术问题，按照本标准判定重大火灾隐患有困难的，应组织专家成立专家组进行技术论证，形成结论性判定意见。结论性判定意见应有三分之二以上的专家同意。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4.3 技术论证专家组应由当地政府有关行业主管部门、监督管理部门和相关消防技术专家组成，人数不应少于7人。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4.4 集体讨论或技术论证时，可以听取业主和管理、使用单位等利害关系人的意见。</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5 判定方法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5.1 一般要求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5.1.1 重大火灾隐患判定应按照第4章规定的判定原则和程序实施，并根据实际情况选择直接判定方法或综合判定方法。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5.1.2 直接判定要素和综合判定要素均应为不能立即改正的火灾隐患要素。</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5.1.3 下列情形不应判定为重大火灾隐患：</w:t>
      </w:r>
    </w:p>
    <w:p>
      <w:pPr>
        <w:rPr>
          <w:rFonts w:hint="eastAsia" w:ascii="仿宋" w:hAnsi="仿宋" w:eastAsia="仿宋" w:cs="仿宋"/>
          <w:sz w:val="28"/>
          <w:szCs w:val="28"/>
        </w:rPr>
      </w:pPr>
      <w:r>
        <w:rPr>
          <w:rFonts w:hint="eastAsia" w:ascii="仿宋" w:hAnsi="仿宋" w:eastAsia="仿宋" w:cs="仿宋"/>
          <w:sz w:val="28"/>
          <w:szCs w:val="28"/>
        </w:rPr>
        <w:t xml:space="preserve">    a）依法进行了消防设计专家评审，并已采取相应技术措施的；</w:t>
      </w:r>
    </w:p>
    <w:p>
      <w:pPr>
        <w:rPr>
          <w:rFonts w:hint="eastAsia" w:ascii="仿宋" w:hAnsi="仿宋" w:eastAsia="仿宋" w:cs="仿宋"/>
          <w:sz w:val="28"/>
          <w:szCs w:val="28"/>
        </w:rPr>
      </w:pPr>
      <w:r>
        <w:rPr>
          <w:rFonts w:hint="eastAsia" w:ascii="仿宋" w:hAnsi="仿宋" w:eastAsia="仿宋" w:cs="仿宋"/>
          <w:sz w:val="28"/>
          <w:szCs w:val="28"/>
        </w:rPr>
        <w:t xml:space="preserve">    b）单位、场所已停产停业或停止使用的；</w:t>
      </w:r>
    </w:p>
    <w:p>
      <w:pPr>
        <w:ind w:firstLine="560"/>
        <w:rPr>
          <w:rFonts w:hint="eastAsia" w:ascii="仿宋" w:hAnsi="仿宋" w:eastAsia="仿宋" w:cs="仿宋"/>
          <w:sz w:val="28"/>
          <w:szCs w:val="28"/>
        </w:rPr>
      </w:pPr>
      <w:r>
        <w:rPr>
          <w:rFonts w:hint="eastAsia" w:ascii="仿宋" w:hAnsi="仿宋" w:eastAsia="仿宋" w:cs="仿宋"/>
          <w:sz w:val="28"/>
          <w:szCs w:val="28"/>
        </w:rPr>
        <w:t>c）不足以导致重大、特别重大火灾事故或严重社会影响的。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5.2 直接判定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5.2.1 重大火灾隐患直接判定要素见第6章。</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5.2.2 符合第6章任意一条直接判定要素的，应直接判定为重大火灾隐患。</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5.2.3 不符合第6章任意一条直接判定要素的，应按5.3的规定进行综合判定。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5.3 综合判定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5.3.1 重大火灾隐患综合判定要素见第7章。</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5.3.2 采用综合判定方法判定重大火灾隐患时，应按下列步骤进行：</w:t>
      </w:r>
    </w:p>
    <w:p>
      <w:pPr>
        <w:rPr>
          <w:rFonts w:hint="eastAsia" w:ascii="仿宋" w:hAnsi="仿宋" w:eastAsia="仿宋" w:cs="仿宋"/>
          <w:sz w:val="28"/>
          <w:szCs w:val="28"/>
        </w:rPr>
      </w:pPr>
      <w:r>
        <w:rPr>
          <w:rFonts w:hint="eastAsia" w:ascii="仿宋" w:hAnsi="仿宋" w:eastAsia="仿宋" w:cs="仿宋"/>
          <w:sz w:val="28"/>
          <w:szCs w:val="28"/>
        </w:rPr>
        <w:t xml:space="preserve">    a）确定建筑或场所类别；</w:t>
      </w:r>
    </w:p>
    <w:p>
      <w:pPr>
        <w:rPr>
          <w:rFonts w:hint="eastAsia" w:ascii="仿宋" w:hAnsi="仿宋" w:eastAsia="仿宋" w:cs="仿宋"/>
          <w:sz w:val="28"/>
          <w:szCs w:val="28"/>
        </w:rPr>
      </w:pPr>
      <w:r>
        <w:rPr>
          <w:rFonts w:hint="eastAsia" w:ascii="仿宋" w:hAnsi="仿宋" w:eastAsia="仿宋" w:cs="仿宋"/>
          <w:sz w:val="28"/>
          <w:szCs w:val="28"/>
        </w:rPr>
        <w:t xml:space="preserve">    b）确定该建筑或场所是否存在第7章规定的综合判定要素的情形和数量；</w:t>
      </w:r>
    </w:p>
    <w:p>
      <w:pPr>
        <w:rPr>
          <w:rFonts w:hint="eastAsia" w:ascii="仿宋" w:hAnsi="仿宋" w:eastAsia="仿宋" w:cs="仿宋"/>
          <w:sz w:val="28"/>
          <w:szCs w:val="28"/>
        </w:rPr>
      </w:pPr>
      <w:r>
        <w:rPr>
          <w:rFonts w:hint="eastAsia" w:ascii="仿宋" w:hAnsi="仿宋" w:eastAsia="仿宋" w:cs="仿宋"/>
          <w:sz w:val="28"/>
          <w:szCs w:val="28"/>
        </w:rPr>
        <w:t xml:space="preserve">    c）按第4章规定的原则和程序，对照5.3.3进行重大火灾隐患综合判定；</w:t>
      </w:r>
    </w:p>
    <w:p>
      <w:pPr>
        <w:rPr>
          <w:rFonts w:hint="eastAsia" w:ascii="仿宋" w:hAnsi="仿宋" w:eastAsia="仿宋" w:cs="仿宋"/>
          <w:sz w:val="28"/>
          <w:szCs w:val="28"/>
        </w:rPr>
      </w:pPr>
      <w:r>
        <w:rPr>
          <w:rFonts w:hint="eastAsia" w:ascii="仿宋" w:hAnsi="仿宋" w:eastAsia="仿宋" w:cs="仿宋"/>
          <w:sz w:val="28"/>
          <w:szCs w:val="28"/>
        </w:rPr>
        <w:t xml:space="preserve">    d）对照5.1.3排除不应判定为重大火灾隐患的情形。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5.3.3 符合下列条件应综合判定为重大火灾隐患：</w:t>
      </w:r>
    </w:p>
    <w:p>
      <w:pPr>
        <w:rPr>
          <w:rFonts w:hint="eastAsia" w:ascii="仿宋" w:hAnsi="仿宋" w:eastAsia="仿宋" w:cs="仿宋"/>
          <w:sz w:val="28"/>
          <w:szCs w:val="28"/>
        </w:rPr>
      </w:pPr>
      <w:r>
        <w:rPr>
          <w:rFonts w:hint="eastAsia" w:ascii="仿宋" w:hAnsi="仿宋" w:eastAsia="仿宋" w:cs="仿宋"/>
          <w:sz w:val="28"/>
          <w:szCs w:val="28"/>
        </w:rPr>
        <w:t xml:space="preserve">    a）人员密集场所存在7.3.1~7.3.9和7.5、7.9.3规定的综合判定要素3条以上（含本数，下同）；</w:t>
      </w:r>
    </w:p>
    <w:p>
      <w:pPr>
        <w:rPr>
          <w:rFonts w:hint="eastAsia" w:ascii="仿宋" w:hAnsi="仿宋" w:eastAsia="仿宋" w:cs="仿宋"/>
          <w:sz w:val="28"/>
          <w:szCs w:val="28"/>
        </w:rPr>
      </w:pPr>
      <w:r>
        <w:rPr>
          <w:rFonts w:hint="eastAsia" w:ascii="仿宋" w:hAnsi="仿宋" w:eastAsia="仿宋" w:cs="仿宋"/>
          <w:sz w:val="28"/>
          <w:szCs w:val="28"/>
        </w:rPr>
        <w:t xml:space="preserve">    b）易燃、易爆危险品场所存在7.1.1~7.1.3、7.4.5和7.4.6规定的综合判定要素3条以上；</w:t>
      </w:r>
    </w:p>
    <w:p>
      <w:pPr>
        <w:rPr>
          <w:rFonts w:hint="eastAsia" w:ascii="仿宋" w:hAnsi="仿宋" w:eastAsia="仿宋" w:cs="仿宋"/>
          <w:sz w:val="28"/>
          <w:szCs w:val="28"/>
        </w:rPr>
      </w:pPr>
      <w:r>
        <w:rPr>
          <w:rFonts w:hint="eastAsia" w:ascii="仿宋" w:hAnsi="仿宋" w:eastAsia="仿宋" w:cs="仿宋"/>
          <w:sz w:val="28"/>
          <w:szCs w:val="28"/>
        </w:rPr>
        <w:t xml:space="preserve">    c）人员密集场所、易燃易爆危险品场所、重要场所存在第7章规定的任意综合判定要素4条以上；</w:t>
      </w:r>
    </w:p>
    <w:p>
      <w:pPr>
        <w:rPr>
          <w:rFonts w:hint="eastAsia" w:ascii="仿宋" w:hAnsi="仿宋" w:eastAsia="仿宋" w:cs="仿宋"/>
          <w:sz w:val="28"/>
          <w:szCs w:val="28"/>
        </w:rPr>
      </w:pPr>
      <w:r>
        <w:rPr>
          <w:rFonts w:hint="eastAsia" w:ascii="仿宋" w:hAnsi="仿宋" w:eastAsia="仿宋" w:cs="仿宋"/>
          <w:sz w:val="28"/>
          <w:szCs w:val="28"/>
        </w:rPr>
        <w:t xml:space="preserve">    d）其他场所存在第7章规定的任意综合判定要素6条以上。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5.3.4 发现存在第7章以外的其他违反消防法律法规、不符合消防技术标准的情形，技术论证专家组可视情节轻重，结合5.3.3做出综合判定。</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6 直接判定要素</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6.1 生产、储存和装卸易燃易爆危险品的工厂、仓库和专用车站、码头、储罐区，未设置在城市的边缘或相对独立的安全地带。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6.2 生产、储存、经营易燃易爆危险品的场所与人员密集场所、居住场所设置在同一建筑物内，或与人员密集场所、居住场所的防火间距小于国家工程建设消防技术标准规定值的75%。</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6.3 城市建成区内的加油站、天然气或液化石油气加气站、加油加气合建站的储量达到或超过GB 50156对一级站的规定。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6.4 甲、乙类生产场所和仓库设置在建筑的地下室或半地下室。</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6.5 公共娱乐场所、商店、地下人员密集场所的安全出口数量不足或其总净宽度小于国家工程建设消防技术标准规定值的80%。</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6.6 旅馆、公共娱乐场所、商店、地下人员密集场所未按国家工程建设消防技术标准的规定设置自动喷水灭火系统或火灾自动报警系统。</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6.7 易燃可燃液体、可燃气体储罐（区）未按国家工程建设消防技术标准的规定设置固定灭火、冷却、可燃气体浓度报警、火灾报警设施。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6.8 在人员密集场所违反消防安全规定使用、储存或销售易燃易爆危险品。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6.9 托儿所、幼儿园的儿童用房以及老年人活动场所，所在楼层位置不符合国家工程建设消防技术标准的规定。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6.10 人员密集场所的居住场所采用彩钢夹芯板搭建，且彩钢夹芯板芯材的燃烧性能等级低于GB 8624规定的A级。</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7 综合判定要素</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7.1 总平面布置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7.1.1 未按国家工程建设消防技术标准的规定或城市消防规划的要求设置消防车道或消防车道被堵塞、占用。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7.1.2 建筑之间的既有防火间距被占用或小于国家工程建设消防技术标准的规定值的80%，明火和散发火花地点与易燃易爆生产厂房、装置设备之间的防火间距小于国家工程建设消防技术标准的规定值。</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7.1.3 在厂房、库房、商场中设置员工宿舍，或是在居住等民用建筑中从事生产、储存、经营等活动，且不符合GA 703的规定。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7.1.4 地下车站的站厅乘客疏散区、站台及疏散通道内设置商业经营活动场所。</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7.2 防火分隔</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7.2.1 原有防火分区被改变并导致实际防火分区的建筑面积大于国家工程建设消防技术标准规定值的50%。</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7.2.2 防火门、防火卷帘等防火分隔设施损坏的数量大于该防火分区相应防火分隔设施总数的50%。</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7.2.3 丙、丁、戊类厂房内有火灾或爆炸危险的部位未采取防火分隔等防火防爆技术措施。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7.3 安全疏散设施及灭火救援条件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7.3.1 建筑内的避难走道、避难间、避难层的设置不符合国家工程建设消防技术标准的规定，或避难走道、避难间、避难层被占用。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7.3.2 人员密集场所内疏散楼梯间的设置形式不符合国家工程建设消防技术标准的规定。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7.3.3 除6.5规定外的其他场所或建筑物的安全出口数量或宽度不符合国家工程建设消防技术标准的规定，或既有安全出口被封堵。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7.3.4 按国家工程建设消防技术标准的规定，建筑物应设置独立的安全出口或疏散楼梯而未设置。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7.3.5 商店营业厅内的疏散距离大于国家工程建设消防技术标准规定值的125%。</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7.3.6 高层建筑和地下建筑未按国家工程建设消防技术标准的规定设置疏散指示标志、应急照明，或所设置设施的损坏率大于标准规定要求设置数量的30%；其他建筑未按国家工程建设消防技术标准的规定设置疏散指示标志、应急照明，或所设置设施的损坏率大于标准规定要求设置数量的50%。</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7.3.7 设有人员密集场所的高层建筑的封闭楼梯间或防烟楼梯间的门的损坏率超过其设置总数的20%，其他建筑的封闭楼梯间或防烟楼梯间的门的损坏率大于其设置总数的50%。</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7.3.8 人员密集场所内疏散走道、疏散楼梯间、前室的室内装修材料的燃烧性能不符合GB 50222的规定。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7.3.9 人员密集场所的疏散走道、楼梯间、疏散门或安全出口设置栅栏、卷帘门。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7.3.10 人员密集场所的外窗被封堵或被广告牌等遮挡。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7.3.11 高层建筑的消防车道、救援场地设置不符合要求或被占用，影响火灾扑救。</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7.3.12 消防电梯无法正常运行。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7.4 消防给水及灭火设施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7.4.1 未按国家工程建设消防技术标准的规定设置消防水源、储存泡沫液等灭火剂。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7.4.2 未按国家工程建设消防技术标准的规定设置室外消防给水系统，或已设置但不符合标准的规定或不能正常使用。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7.4.3 未按国家工程建设消防技术标准的规定设置室内消火栓系统，或已设置但不符合标准的规定或不能正常使用。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7.4.4 除旅馆、公共娱乐场所、商店、地下人员密集场所外，其他场所未按国家工程建设消防技术标准的规定设置自动喷水灭火系统。</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7.4.5 未按国家工程建设消防技术标准的规定设置除自动喷水灭火系统外的其他固定灭火设施。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7.4.6 已设置的自动喷水灭火系统或其他固定灭火设施不能正常使用或运行。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7.5 防烟排烟设施</w:t>
      </w:r>
    </w:p>
    <w:p>
      <w:pPr>
        <w:rPr>
          <w:rFonts w:hint="eastAsia" w:ascii="仿宋" w:hAnsi="仿宋" w:eastAsia="仿宋" w:cs="仿宋"/>
          <w:sz w:val="28"/>
          <w:szCs w:val="28"/>
        </w:rPr>
      </w:pPr>
      <w:r>
        <w:rPr>
          <w:rFonts w:hint="eastAsia" w:ascii="仿宋" w:hAnsi="仿宋" w:eastAsia="仿宋" w:cs="仿宋"/>
          <w:sz w:val="28"/>
          <w:szCs w:val="28"/>
        </w:rPr>
        <w:t xml:space="preserve">    人员密集场所、高层建筑和地下建筑未按国家工程建设消防技术标准的规定设置防烟、排烟设施，或已设置但不能正常使用或运行。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7.6 消防供电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7.6.1 消防用电设备的供电负荷级别不符合国家工程建设消防技术标准的规定。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7.6.2 消防用电设备未按国家工程建设消防技术标准的规定采用专用的供电回路。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7.6.3 未按国家工程建设消防技术标准的规定设置消防用电设备末端自动切换装置，或已设置但不符合标准的规定或不能正常自动切换。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7.7 火灾自动报警系统</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7.7.1 除旅馆、公共娱乐场所、商店、其他地下人员密集场所以外的其他场所未按国家工程建设消防技术标准的规定设置火灾自动报警系统。</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7.7.2 火灾自动报警系统不能正常运行。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7.7.3 防烟排烟系统、消防水泵以及其他自动消防设施不能正常联动控制。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7.8 消防安全管理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7.8.1 社会单位未按消防法律法规要求设置专职消防队。</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7.8.2 消防控制室操作人员未按GB 25506的规定持证上岗。</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7.9 其他</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7.9.1 生产、储存场所的建筑耐火等级与其生产、储存物品的火灾危险性类别不相匹配，违反国家工程建设消防技术标准的规定。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7.9.2 生产、储存、装卸和经营易燃易爆危险品的场所或有粉尘爆炸危险场所未按规定设置防爆电气设备和泄压设施，或防爆电气设备和泄压设施失效。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7.9.3 违反国家工程建设消防技术标准的规定使用燃油、燃气设备，或燃油、燃气管道敷设和紧急切断装置不符合标准规定。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7.9.4 违反国家工程建设消防技术标准的规定在可燃材料或可燃构件上直接敷设电气线路或安装电气设备，或采用不符合标准规定的消防配电线缆和其他供配电线缆。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7.9.5 违反国家工程建设消防技术标准的规定在人员密集场所使用易燃、可燃材料装修、装饰。</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参考文献</w:t>
      </w:r>
    </w:p>
    <w:p>
      <w:pPr>
        <w:rPr>
          <w:rFonts w:hint="eastAsia" w:ascii="仿宋" w:hAnsi="仿宋" w:eastAsia="仿宋" w:cs="仿宋"/>
          <w:sz w:val="28"/>
          <w:szCs w:val="28"/>
        </w:rPr>
      </w:pPr>
      <w:r>
        <w:rPr>
          <w:rFonts w:hint="eastAsia" w:ascii="仿宋" w:hAnsi="仿宋" w:eastAsia="仿宋" w:cs="仿宋"/>
          <w:sz w:val="28"/>
          <w:szCs w:val="28"/>
        </w:rPr>
        <w:t xml:space="preserve">    [1]  GB 50028—2006  城镇燃气设计规范</w:t>
      </w:r>
    </w:p>
    <w:p>
      <w:pPr>
        <w:rPr>
          <w:rFonts w:hint="eastAsia" w:ascii="仿宋" w:hAnsi="仿宋" w:eastAsia="仿宋" w:cs="仿宋"/>
          <w:sz w:val="28"/>
          <w:szCs w:val="28"/>
        </w:rPr>
      </w:pPr>
      <w:r>
        <w:rPr>
          <w:rFonts w:hint="eastAsia" w:ascii="仿宋" w:hAnsi="仿宋" w:eastAsia="仿宋" w:cs="仿宋"/>
          <w:sz w:val="28"/>
          <w:szCs w:val="28"/>
        </w:rPr>
        <w:t xml:space="preserve">    [2]  GB 50058—2014  爆炸危险环境电力装置设计规范</w:t>
      </w:r>
    </w:p>
    <w:p>
      <w:pPr>
        <w:rPr>
          <w:rFonts w:hint="eastAsia" w:ascii="仿宋" w:hAnsi="仿宋" w:eastAsia="仿宋" w:cs="仿宋"/>
          <w:sz w:val="28"/>
          <w:szCs w:val="28"/>
        </w:rPr>
      </w:pPr>
      <w:r>
        <w:rPr>
          <w:rFonts w:hint="eastAsia" w:ascii="仿宋" w:hAnsi="仿宋" w:eastAsia="仿宋" w:cs="仿宋"/>
          <w:sz w:val="28"/>
          <w:szCs w:val="28"/>
        </w:rPr>
        <w:t xml:space="preserve">    [3]  GB 50098—2009  人民防空工程设计防火规范</w:t>
      </w:r>
    </w:p>
    <w:p>
      <w:pPr>
        <w:rPr>
          <w:rFonts w:hint="eastAsia" w:ascii="仿宋" w:hAnsi="仿宋" w:eastAsia="仿宋" w:cs="仿宋"/>
          <w:sz w:val="28"/>
          <w:szCs w:val="28"/>
        </w:rPr>
      </w:pPr>
      <w:r>
        <w:rPr>
          <w:rFonts w:hint="eastAsia" w:ascii="仿宋" w:hAnsi="仿宋" w:eastAsia="仿宋" w:cs="仿宋"/>
          <w:sz w:val="28"/>
          <w:szCs w:val="28"/>
        </w:rPr>
        <w:t xml:space="preserve">    [4]  GB 50160—2008  石油化工企业设计防火规范</w:t>
      </w:r>
    </w:p>
    <w:p>
      <w:pPr>
        <w:rPr>
          <w:rFonts w:hint="eastAsia" w:ascii="仿宋" w:hAnsi="仿宋" w:eastAsia="仿宋" w:cs="仿宋"/>
          <w:sz w:val="28"/>
          <w:szCs w:val="28"/>
        </w:rPr>
      </w:pPr>
      <w:r>
        <w:rPr>
          <w:rFonts w:hint="eastAsia" w:ascii="仿宋" w:hAnsi="仿宋" w:eastAsia="仿宋" w:cs="仿宋"/>
          <w:sz w:val="28"/>
          <w:szCs w:val="28"/>
        </w:rPr>
        <w:t xml:space="preserve">    [5]  建标152—2011  城市消防站建设标准</w:t>
      </w:r>
    </w:p>
    <w:p>
      <w:pPr>
        <w:rPr>
          <w:rFonts w:hint="eastAsia" w:ascii="仿宋" w:hAnsi="仿宋" w:eastAsia="仿宋" w:cs="仿宋"/>
          <w:sz w:val="28"/>
          <w:szCs w:val="28"/>
        </w:rPr>
      </w:pPr>
      <w:r>
        <w:rPr>
          <w:rFonts w:hint="eastAsia" w:ascii="仿宋" w:hAnsi="仿宋" w:eastAsia="仿宋" w:cs="仿宋"/>
          <w:sz w:val="28"/>
          <w:szCs w:val="28"/>
        </w:rPr>
        <w:t xml:space="preserve">    [6]  中华人民共和国消防法</w:t>
      </w:r>
    </w:p>
    <w:p>
      <w:pPr>
        <w:rPr>
          <w:rFonts w:hint="eastAsia" w:ascii="仿宋" w:hAnsi="仿宋" w:eastAsia="仿宋" w:cs="仿宋"/>
          <w:sz w:val="28"/>
          <w:szCs w:val="28"/>
        </w:rPr>
      </w:pPr>
      <w:r>
        <w:rPr>
          <w:rFonts w:hint="eastAsia" w:ascii="仿宋" w:hAnsi="仿宋" w:eastAsia="仿宋" w:cs="仿宋"/>
          <w:sz w:val="28"/>
          <w:szCs w:val="28"/>
        </w:rPr>
        <w:t xml:space="preserve">    [7]  公共娱乐场所消防安全管理规定（公安部令第39号）</w:t>
      </w:r>
    </w:p>
    <w:p>
      <w:pPr>
        <w:rPr>
          <w:rFonts w:hint="eastAsia" w:ascii="仿宋" w:hAnsi="仿宋" w:eastAsia="仿宋" w:cs="仿宋"/>
          <w:sz w:val="28"/>
          <w:szCs w:val="28"/>
        </w:rPr>
      </w:pPr>
      <w:r>
        <w:rPr>
          <w:rFonts w:hint="eastAsia" w:ascii="仿宋" w:hAnsi="仿宋" w:eastAsia="仿宋" w:cs="仿宋"/>
          <w:sz w:val="28"/>
          <w:szCs w:val="28"/>
        </w:rPr>
        <w:t xml:space="preserve">    [8]  机关、团体、企业、事业单位消防安全管理规定（公安部令第61号）</w:t>
      </w:r>
    </w:p>
    <w:p>
      <w:pPr>
        <w:rPr>
          <w:rFonts w:hint="eastAsia" w:ascii="仿宋" w:hAnsi="仿宋" w:eastAsia="仿宋" w:cs="仿宋"/>
          <w:sz w:val="28"/>
          <w:szCs w:val="28"/>
        </w:rPr>
      </w:pPr>
      <w:r>
        <w:rPr>
          <w:rFonts w:hint="eastAsia" w:ascii="仿宋" w:hAnsi="仿宋" w:eastAsia="仿宋" w:cs="仿宋"/>
          <w:sz w:val="28"/>
          <w:szCs w:val="28"/>
        </w:rPr>
        <w:t xml:space="preserve">    [9]  消防监督检查规定（公安部令第120号）</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D2184"/>
    <w:multiLevelType w:val="multilevel"/>
    <w:tmpl w:val="4DAD2184"/>
    <w:lvl w:ilvl="0" w:tentative="0">
      <w:start w:val="1"/>
      <w:numFmt w:val="none"/>
      <w:pStyle w:val="7"/>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szCs w:val="28"/>
      </w:rPr>
    </w:lvl>
    <w:lvl w:ilvl="2" w:tentative="0">
      <w:start w:val="1"/>
      <w:numFmt w:val="decimal"/>
      <w:suff w:val="nothing"/>
      <w:lvlText w:val="%1%2.%3　"/>
      <w:lvlJc w:val="left"/>
      <w:pPr>
        <w:ind w:left="315" w:firstLine="0"/>
      </w:pPr>
      <w:rPr>
        <w:rFonts w:hint="eastAsia" w:ascii="黑体" w:hAnsi="Times New Roman" w:eastAsia="黑体"/>
        <w:b w:val="0"/>
        <w:i w:val="0"/>
        <w:color w:val="auto"/>
        <w:sz w:val="21"/>
        <w:szCs w:val="24"/>
      </w:rPr>
    </w:lvl>
    <w:lvl w:ilvl="3" w:tentative="0">
      <w:start w:val="1"/>
      <w:numFmt w:val="none"/>
      <w:suff w:val="nothing"/>
      <w:lvlText w:val="1.1.1.1"/>
      <w:lvlJc w:val="left"/>
      <w:pPr>
        <w:ind w:left="0" w:firstLine="0"/>
      </w:pPr>
      <w:rPr>
        <w:rFonts w:hint="eastAsia" w:ascii="黑体" w:hAnsi="Times New Roman" w:eastAsia="黑体"/>
        <w:b w:val="0"/>
        <w:i w:val="0"/>
        <w:sz w:val="21"/>
        <w:szCs w:val="24"/>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8D36F05"/>
    <w:multiLevelType w:val="multilevel"/>
    <w:tmpl w:val="58D36F05"/>
    <w:lvl w:ilvl="0" w:tentative="0">
      <w:start w:val="1"/>
      <w:numFmt w:val="none"/>
      <w:pStyle w:val="8"/>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szCs w:val="28"/>
      </w:rPr>
    </w:lvl>
    <w:lvl w:ilvl="2" w:tentative="0">
      <w:start w:val="1"/>
      <w:numFmt w:val="decimal"/>
      <w:suff w:val="nothing"/>
      <w:lvlText w:val="%1%2.%3　"/>
      <w:lvlJc w:val="left"/>
      <w:pPr>
        <w:ind w:left="0" w:firstLine="0"/>
      </w:pPr>
      <w:rPr>
        <w:rFonts w:hint="eastAsia" w:ascii="黑体" w:hAnsi="Times New Roman" w:eastAsia="黑体"/>
        <w:b w:val="0"/>
        <w:i w:val="0"/>
        <w:color w:val="auto"/>
        <w:sz w:val="21"/>
        <w:szCs w:val="24"/>
      </w:rPr>
    </w:lvl>
    <w:lvl w:ilvl="3" w:tentative="0">
      <w:start w:val="1"/>
      <w:numFmt w:val="decimal"/>
      <w:suff w:val="nothing"/>
      <w:lvlText w:val="6.1.1.%4　"/>
      <w:lvlJc w:val="left"/>
      <w:pPr>
        <w:ind w:left="0" w:firstLine="0"/>
      </w:pPr>
      <w:rPr>
        <w:rFonts w:hint="eastAsia" w:ascii="黑体" w:hAnsi="Times New Roman" w:eastAsia="黑体"/>
        <w:b w:val="0"/>
        <w:i w:val="0"/>
        <w:sz w:val="21"/>
        <w:szCs w:val="24"/>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3059F7"/>
    <w:rsid w:val="6BDE6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ind w:right="210" w:rightChars="100"/>
      <w:jc w:val="right"/>
    </w:pPr>
    <w:rPr>
      <w:sz w:val="18"/>
      <w:szCs w:val="18"/>
    </w:rPr>
  </w:style>
  <w:style w:type="character" w:styleId="4">
    <w:name w:val="page number"/>
    <w:basedOn w:val="3"/>
    <w:uiPriority w:val="0"/>
    <w:rPr>
      <w:rFonts w:ascii="Times New Roman" w:hAnsi="Times New Roman" w:eastAsia="宋体"/>
      <w:sz w:val="18"/>
    </w:rPr>
  </w:style>
  <w:style w:type="paragraph" w:customStyle="1" w:styleId="6">
    <w:name w:val="目次、标准名称标题"/>
    <w:basedOn w:val="7"/>
    <w:next w:val="8"/>
    <w:uiPriority w:val="0"/>
    <w:pPr>
      <w:spacing w:line="460" w:lineRule="exact"/>
    </w:pPr>
  </w:style>
  <w:style w:type="paragraph" w:customStyle="1" w:styleId="7">
    <w:name w:val="前言、引言标题"/>
    <w:next w:val="1"/>
    <w:uiPriority w:val="0"/>
    <w:pPr>
      <w:numPr>
        <w:ilvl w:val="0"/>
        <w:numId w:val="1"/>
      </w:numPr>
      <w:shd w:val="clear" w:color="FFFFFF" w:fill="FFFFFF"/>
      <w:spacing w:before="640" w:after="560"/>
      <w:jc w:val="center"/>
      <w:outlineLvl w:val="0"/>
    </w:pPr>
    <w:rPr>
      <w:rFonts w:ascii="黑体" w:eastAsia="黑体" w:hAnsiTheme="minorHAnsi" w:cstheme="minorBidi"/>
      <w:sz w:val="32"/>
      <w:szCs w:val="22"/>
      <w:lang w:val="en-US" w:eastAsia="zh-CN" w:bidi="ar-SA"/>
    </w:rPr>
  </w:style>
  <w:style w:type="paragraph" w:customStyle="1" w:styleId="8">
    <w:name w:val="段"/>
    <w:uiPriority w:val="0"/>
    <w:pPr>
      <w:numPr>
        <w:ilvl w:val="0"/>
        <w:numId w:val="2"/>
      </w:numPr>
      <w:autoSpaceDE w:val="0"/>
      <w:autoSpaceDN w:val="0"/>
      <w:jc w:val="both"/>
    </w:pPr>
    <w:rPr>
      <w:rFonts w:ascii="宋体" w:hAnsiTheme="minorHAnsi" w:eastAsiaTheme="minorEastAsia" w:cstheme="minorBidi"/>
      <w:sz w:val="21"/>
      <w:szCs w:val="22"/>
      <w:lang w:val="en-US" w:eastAsia="zh-CN" w:bidi="ar-SA"/>
    </w:rPr>
  </w:style>
  <w:style w:type="paragraph" w:customStyle="1" w:styleId="9">
    <w:name w:val="标准书眉_奇数页"/>
    <w:next w:val="1"/>
    <w:uiPriority w:val="0"/>
    <w:pPr>
      <w:tabs>
        <w:tab w:val="center" w:pos="4154"/>
        <w:tab w:val="right" w:pos="8306"/>
      </w:tabs>
      <w:spacing w:after="120"/>
      <w:jc w:val="right"/>
    </w:pPr>
    <w:rPr>
      <w:rFonts w:asciiTheme="minorHAnsi" w:hAnsiTheme="minorHAnsi" w:eastAsiaTheme="minorEastAsia" w:cstheme="minorBidi"/>
      <w:sz w:val="21"/>
      <w:szCs w:val="22"/>
      <w:lang w:val="en-US" w:eastAsia="zh-CN" w:bidi="ar-SA"/>
    </w:rPr>
  </w:style>
  <w:style w:type="paragraph" w:customStyle="1" w:styleId="10">
    <w:name w:val="标准书眉_偶数页"/>
    <w:basedOn w:val="9"/>
    <w:next w:val="1"/>
    <w:uiPriority w:val="0"/>
    <w:pPr>
      <w:jc w:val="left"/>
    </w:pPr>
  </w:style>
  <w:style w:type="paragraph" w:customStyle="1" w:styleId="11">
    <w:name w:val="标准书脚_奇数页"/>
    <w:uiPriority w:val="0"/>
    <w:pPr>
      <w:spacing w:before="120"/>
      <w:jc w:val="right"/>
    </w:pPr>
    <w:rPr>
      <w:rFonts w:asciiTheme="minorHAnsi" w:hAnsiTheme="minorHAnsi" w:eastAsiaTheme="minorEastAsia" w:cstheme="minorBidi"/>
      <w:sz w:val="1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xhzhb</dc:creator>
  <cp:lastModifiedBy>ddr57</cp:lastModifiedBy>
  <dcterms:modified xsi:type="dcterms:W3CDTF">2018-03-05T04:06:38Z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